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129" w:rsidRPr="00535129" w:rsidRDefault="00535129" w:rsidP="00535129">
      <w:pPr>
        <w:jc w:val="both"/>
        <w:rPr>
          <w:rFonts w:ascii="Times New Roman" w:hAnsi="Times New Roman" w:cs="Times New Roman"/>
          <w:b/>
        </w:rPr>
      </w:pPr>
      <w:r w:rsidRPr="00535129">
        <w:rPr>
          <w:rFonts w:ascii="Times New Roman" w:hAnsi="Times New Roman" w:cs="Times New Roman"/>
          <w:b/>
        </w:rPr>
        <w:t xml:space="preserve">4.29. Chapter 29: Customs union </w:t>
      </w:r>
    </w:p>
    <w:p w:rsidR="000A6C7F" w:rsidRDefault="000A6C7F" w:rsidP="00535129">
      <w:pPr>
        <w:jc w:val="both"/>
        <w:rPr>
          <w:rFonts w:ascii="Times New Roman" w:hAnsi="Times New Roman" w:cs="Times New Roman"/>
          <w:i/>
        </w:rPr>
      </w:pPr>
      <w:r w:rsidRPr="000A6C7F">
        <w:rPr>
          <w:rFonts w:ascii="Times New Roman" w:hAnsi="Times New Roman" w:cs="Times New Roman"/>
          <w:i/>
        </w:rPr>
        <w:t>All Member States are part of the EU customs union and follow the same customs rules and procedures. This requires legislative alignment as well as adequate implementing and enforcement capacity and access to the common computerised customs systems.</w:t>
      </w:r>
    </w:p>
    <w:tbl>
      <w:tblPr>
        <w:tblStyle w:val="TableGrid"/>
        <w:tblW w:w="0" w:type="auto"/>
        <w:tblLook w:val="04A0"/>
      </w:tblPr>
      <w:tblGrid>
        <w:gridCol w:w="9242"/>
      </w:tblGrid>
      <w:tr w:rsidR="00535129" w:rsidTr="00535129">
        <w:tc>
          <w:tcPr>
            <w:tcW w:w="9242" w:type="dxa"/>
          </w:tcPr>
          <w:p w:rsidR="000A6C7F" w:rsidRDefault="000A6C7F" w:rsidP="00535129">
            <w:pPr>
              <w:jc w:val="both"/>
              <w:rPr>
                <w:rFonts w:ascii="Times New Roman" w:hAnsi="Times New Roman" w:cs="Times New Roman"/>
              </w:rPr>
            </w:pPr>
            <w:r w:rsidRPr="000A6C7F">
              <w:rPr>
                <w:rFonts w:ascii="Times New Roman" w:hAnsi="Times New Roman" w:cs="Times New Roman"/>
              </w:rPr>
              <w:t xml:space="preserve">The country achieved a </w:t>
            </w:r>
            <w:r w:rsidRPr="000A6C7F">
              <w:rPr>
                <w:rFonts w:ascii="Times New Roman" w:hAnsi="Times New Roman" w:cs="Times New Roman"/>
                <w:b/>
              </w:rPr>
              <w:t>good level of preparation</w:t>
            </w:r>
            <w:r w:rsidRPr="000A6C7F">
              <w:rPr>
                <w:rFonts w:ascii="Times New Roman" w:hAnsi="Times New Roman" w:cs="Times New Roman"/>
              </w:rPr>
              <w:t xml:space="preserve"> on customs union. </w:t>
            </w:r>
            <w:r w:rsidRPr="000A6C7F">
              <w:rPr>
                <w:rFonts w:ascii="Times New Roman" w:hAnsi="Times New Roman" w:cs="Times New Roman"/>
                <w:b/>
              </w:rPr>
              <w:t>Some progress</w:t>
            </w:r>
            <w:r w:rsidRPr="000A6C7F">
              <w:rPr>
                <w:rFonts w:ascii="Times New Roman" w:hAnsi="Times New Roman" w:cs="Times New Roman"/>
              </w:rPr>
              <w:t xml:space="preserve"> was made on legislative alignment and on administrative and operational capacity. Certain customs provisions of the law on zones for technological and industrial development are still not in line with the acquis. In the coming year, the country should:</w:t>
            </w:r>
          </w:p>
          <w:p w:rsidR="00535129" w:rsidRPr="00535129" w:rsidRDefault="00535129" w:rsidP="00535129">
            <w:pPr>
              <w:jc w:val="both"/>
              <w:rPr>
                <w:rFonts w:ascii="Times New Roman" w:hAnsi="Times New Roman" w:cs="Times New Roman"/>
                <w:sz w:val="8"/>
                <w:szCs w:val="8"/>
              </w:rPr>
            </w:pPr>
          </w:p>
          <w:p w:rsidR="00535129" w:rsidRDefault="00535129" w:rsidP="00535129">
            <w:pPr>
              <w:jc w:val="both"/>
              <w:rPr>
                <w:rFonts w:ascii="Times New Roman" w:hAnsi="Times New Roman" w:cs="Times New Roman"/>
              </w:rPr>
            </w:pPr>
            <w:r w:rsidRPr="00535129">
              <w:rPr>
                <w:rFonts w:ascii="Times New Roman" w:hAnsi="Times New Roman" w:cs="Times New Roman"/>
              </w:rPr>
              <w:t xml:space="preserve">→ </w:t>
            </w:r>
            <w:r w:rsidR="006B421C">
              <w:rPr>
                <w:rFonts w:ascii="Times New Roman" w:hAnsi="Times New Roman" w:cs="Times New Roman"/>
              </w:rPr>
              <w:t xml:space="preserve"> </w:t>
            </w:r>
            <w:r w:rsidR="000A6C7F" w:rsidRPr="000A6C7F">
              <w:rPr>
                <w:rFonts w:ascii="Times New Roman" w:hAnsi="Times New Roman" w:cs="Times New Roman"/>
              </w:rPr>
              <w:t>abolish fees for customs declarations;</w:t>
            </w:r>
          </w:p>
          <w:p w:rsidR="00535129" w:rsidRPr="00535129" w:rsidRDefault="00535129" w:rsidP="00535129">
            <w:pPr>
              <w:jc w:val="both"/>
              <w:rPr>
                <w:rFonts w:ascii="Times New Roman" w:hAnsi="Times New Roman" w:cs="Times New Roman"/>
                <w:sz w:val="8"/>
                <w:szCs w:val="8"/>
              </w:rPr>
            </w:pPr>
          </w:p>
          <w:p w:rsidR="00535129" w:rsidRDefault="00535129" w:rsidP="000A6C7F">
            <w:pPr>
              <w:jc w:val="both"/>
              <w:rPr>
                <w:rFonts w:ascii="Times New Roman" w:hAnsi="Times New Roman" w:cs="Times New Roman"/>
              </w:rPr>
            </w:pPr>
            <w:r w:rsidRPr="00535129">
              <w:rPr>
                <w:rFonts w:ascii="Times New Roman" w:hAnsi="Times New Roman" w:cs="Times New Roman"/>
              </w:rPr>
              <w:t xml:space="preserve">→ </w:t>
            </w:r>
            <w:r w:rsidR="000A6C7F" w:rsidRPr="000A6C7F">
              <w:rPr>
                <w:rFonts w:ascii="Times New Roman" w:hAnsi="Times New Roman" w:cs="Times New Roman"/>
              </w:rPr>
              <w:t>complete and consolidate the developed IT systems, ensure their upgrade and maintenance and guarantee business continuity.</w:t>
            </w:r>
          </w:p>
        </w:tc>
      </w:tr>
    </w:tbl>
    <w:p w:rsidR="00535129" w:rsidRPr="00535129" w:rsidRDefault="00535129" w:rsidP="00535129">
      <w:pPr>
        <w:jc w:val="both"/>
        <w:rPr>
          <w:rFonts w:ascii="Times New Roman" w:hAnsi="Times New Roman" w:cs="Times New Roman"/>
          <w:sz w:val="2"/>
          <w:szCs w:val="2"/>
        </w:rPr>
      </w:pPr>
      <w:r>
        <w:rPr>
          <w:rFonts w:ascii="Times New Roman" w:hAnsi="Times New Roman" w:cs="Times New Roman"/>
          <w:sz w:val="2"/>
          <w:szCs w:val="2"/>
        </w:rPr>
        <w:t>+</w:t>
      </w:r>
    </w:p>
    <w:p w:rsidR="000A6C7F" w:rsidRDefault="000A6C7F" w:rsidP="00535129">
      <w:pPr>
        <w:jc w:val="both"/>
        <w:rPr>
          <w:rFonts w:ascii="Times New Roman" w:hAnsi="Times New Roman" w:cs="Times New Roman"/>
        </w:rPr>
      </w:pPr>
      <w:r w:rsidRPr="000A6C7F">
        <w:rPr>
          <w:rFonts w:ascii="Times New Roman" w:hAnsi="Times New Roman" w:cs="Times New Roman"/>
        </w:rPr>
        <w:t xml:space="preserve">In the area of </w:t>
      </w:r>
      <w:r w:rsidRPr="000A6C7F">
        <w:rPr>
          <w:rFonts w:ascii="Times New Roman" w:hAnsi="Times New Roman" w:cs="Times New Roman"/>
          <w:b/>
        </w:rPr>
        <w:t>customs legislation</w:t>
      </w:r>
      <w:r w:rsidRPr="000A6C7F">
        <w:rPr>
          <w:rFonts w:ascii="Times New Roman" w:hAnsi="Times New Roman" w:cs="Times New Roman"/>
        </w:rPr>
        <w:t xml:space="preserve">, the 2016 customs tariff was adopted in line with the latest changes in the EU Combined Nomenclature. The amended Protocol 4 to the SAA was ratified to include provisions for application of the Pan-Euro-Med Convention on preferential rules of origin. The amended Customs Code further reduced the penalty fees set for customs violations. The number of registered requests for customs protection of trademarks doubled in 2015 compared with the previous year as a result of new simplified procedures. The customs administration continued to charge a fee for processing customs declarations, which is not in line with the </w:t>
      </w:r>
      <w:r w:rsidRPr="000A6C7F">
        <w:rPr>
          <w:rFonts w:ascii="Times New Roman" w:hAnsi="Times New Roman" w:cs="Times New Roman"/>
          <w:i/>
        </w:rPr>
        <w:t>acquis</w:t>
      </w:r>
      <w:r w:rsidRPr="000A6C7F">
        <w:rPr>
          <w:rFonts w:ascii="Times New Roman" w:hAnsi="Times New Roman" w:cs="Times New Roman"/>
        </w:rPr>
        <w:t>.</w:t>
      </w:r>
    </w:p>
    <w:p w:rsidR="000A6C7F" w:rsidRDefault="000A6C7F" w:rsidP="00535129">
      <w:pPr>
        <w:jc w:val="both"/>
        <w:rPr>
          <w:rFonts w:ascii="Times New Roman" w:hAnsi="Times New Roman" w:cs="Times New Roman"/>
        </w:rPr>
      </w:pPr>
      <w:r w:rsidRPr="000A6C7F">
        <w:rPr>
          <w:rFonts w:ascii="Times New Roman" w:hAnsi="Times New Roman" w:cs="Times New Roman"/>
        </w:rPr>
        <w:t xml:space="preserve">On </w:t>
      </w:r>
      <w:r w:rsidRPr="000A6C7F">
        <w:rPr>
          <w:rFonts w:ascii="Times New Roman" w:hAnsi="Times New Roman" w:cs="Times New Roman"/>
          <w:b/>
        </w:rPr>
        <w:t>administrative and operational capacity</w:t>
      </w:r>
      <w:r w:rsidRPr="000A6C7F">
        <w:rPr>
          <w:rFonts w:ascii="Times New Roman" w:hAnsi="Times New Roman" w:cs="Times New Roman"/>
        </w:rPr>
        <w:t>, professional integrity standards and internal controls were systematically applied. Risk management is developed and risk analysis is applied to transit operations. The use of simplified procedures is well developed. Capacities for carrying out customs controls and combating cross-border crime were strengthened. Interagency cooperation and exchange of information continued to result in seizures of illicit goods. Cooperation with customs authorities from the region continued. The new electronic system for processing customs declarations and excise documents was not completed. The electronic integrated tariff system is not fully utilised.</w:t>
      </w:r>
    </w:p>
    <w:p w:rsidR="000A6C7F" w:rsidRDefault="000A6C7F" w:rsidP="00535129">
      <w:pPr>
        <w:jc w:val="both"/>
        <w:rPr>
          <w:rFonts w:ascii="Times New Roman" w:hAnsi="Times New Roman" w:cs="Times New Roman"/>
        </w:rPr>
      </w:pPr>
      <w:r w:rsidRPr="000A6C7F">
        <w:rPr>
          <w:rFonts w:ascii="Times New Roman" w:hAnsi="Times New Roman" w:cs="Times New Roman"/>
        </w:rPr>
        <w:t>Following the country’s accession to the EU conventions on common transit in 2015, the new computerised transit system was used without interruptions and the number of declarations processed increased. Raising awareness of benefits stemming from the common transit system among economic operators and optimising its use remain priorities of the customs administration</w:t>
      </w:r>
      <w:r>
        <w:rPr>
          <w:rFonts w:ascii="Times New Roman" w:hAnsi="Times New Roman" w:cs="Times New Roman"/>
        </w:rPr>
        <w:t xml:space="preserve">. </w:t>
      </w:r>
    </w:p>
    <w:sectPr w:rsidR="000A6C7F" w:rsidSect="006375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535129"/>
    <w:rsid w:val="000A6C7F"/>
    <w:rsid w:val="0032404A"/>
    <w:rsid w:val="00535129"/>
    <w:rsid w:val="006375DD"/>
    <w:rsid w:val="006B421C"/>
    <w:rsid w:val="00BE0877"/>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5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1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megdi.adili</dc:creator>
  <cp:lastModifiedBy>katerina.hadziska</cp:lastModifiedBy>
  <cp:revision>2</cp:revision>
  <dcterms:created xsi:type="dcterms:W3CDTF">2022-05-18T07:41:00Z</dcterms:created>
  <dcterms:modified xsi:type="dcterms:W3CDTF">2022-05-18T07:41:00Z</dcterms:modified>
</cp:coreProperties>
</file>